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lastRenderedPageBreak/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lastRenderedPageBreak/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 xml:space="preserve">, z późn. zm.) oraz pomoc materialną określoną w art. 173 ust. 1 pkt 1, 2 i 8, art. </w:t>
      </w:r>
      <w:r w:rsidRPr="007E40B7">
        <w:rPr>
          <w:rFonts w:ascii="Times New Roman" w:hAnsi="Times New Roman"/>
        </w:rPr>
        <w:lastRenderedPageBreak/>
        <w:t>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9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14" w:rsidRDefault="00E92C14" w:rsidP="00B66BAD">
      <w:r>
        <w:separator/>
      </w:r>
    </w:p>
  </w:endnote>
  <w:endnote w:type="continuationSeparator" w:id="0">
    <w:p w:rsidR="00E92C14" w:rsidRDefault="00E92C14" w:rsidP="00B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D0" w:rsidRDefault="00C13500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D81AB7">
      <w:rPr>
        <w:noProof/>
      </w:rPr>
      <w:t>6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14" w:rsidRDefault="00E92C14" w:rsidP="00B66BAD">
      <w:r>
        <w:separator/>
      </w:r>
    </w:p>
  </w:footnote>
  <w:footnote w:type="continuationSeparator" w:id="0">
    <w:p w:rsidR="00E92C14" w:rsidRDefault="00E92C14" w:rsidP="00B6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81AB7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FEA8-E777-46C8-8FA2-6E184F8C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5117</Words>
  <Characters>30706</Characters>
  <Application>Microsoft Office Word</Application>
  <DocSecurity>4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Chrabaszcz</dc:creator>
  <cp:lastModifiedBy>Iwona</cp:lastModifiedBy>
  <cp:revision>2</cp:revision>
  <cp:lastPrinted>2016-02-17T17:17:00Z</cp:lastPrinted>
  <dcterms:created xsi:type="dcterms:W3CDTF">2016-02-23T07:40:00Z</dcterms:created>
  <dcterms:modified xsi:type="dcterms:W3CDTF">2016-02-23T07:40:00Z</dcterms:modified>
</cp:coreProperties>
</file>